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Georgia" w:cs="Georgia" w:eastAsia="Georgia" w:hAnsi="Georgia"/>
          <w:b/>
          <w:bCs/>
          <w:sz w:val="40"/>
          <w:szCs w:val="40"/>
        </w:rPr>
        <w:t xml:space="preserve">Karthik Raman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7A2E2E"/>
          <w:sz w:val="20"/>
          <w:szCs w:val="20"/>
        </w:rPr>
        <w:t xml:space="preserve">B.A. LL.B. (Hons.)  |  Interests: public policy, human rights, environmental law</w:t>
      </w:r>
    </w:p>
    <w:p>
      <w:pPr>
        <w:pBdr>
          <w:bottom w:val="single" w:color="BBBBBB" w:sz="6" w:space="4"/>
        </w:pBdr>
        <w:spacing w:after="60"/>
      </w:pPr>
      <w:r>
        <w:rPr>
          <w:rFonts w:ascii="Georgia" w:cs="Georgia" w:eastAsia="Georgia" w:hAnsi="Georgia"/>
          <w:color w:val="444444"/>
          <w:sz w:val="18"/>
          <w:szCs w:val="18"/>
        </w:rPr>
        <w:t xml:space="preserve">karthik.raman@email.com  |  +91 96XXXXXXXX  |  Bengaluru  |  linkedin.com/in/karthikraman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Education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B.A. LL.B. (Hons.), [Name of Law School], [University]</w:t>
      </w:r>
      <w:r>
        <w:rPr>
          <w:rFonts w:ascii="Georgia" w:cs="Georgia" w:eastAsia="Georgia" w:hAnsi="Georgia"/>
          <w:i w:val="false"/>
          <w:iCs w:val="false"/>
          <w:sz w:val="20"/>
          <w:szCs w:val="20"/>
        </w:rPr>
        <w:t xml:space="preserve">	2021 to present</w:t>
      </w:r>
    </w:p>
    <w:p>
      <w:pPr>
        <w:keepNext/>
        <w:spacing w:after="3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Year 5  |  CGPA 8.4 / 10  |  Dean’s List, 2023 and 2024</w:t>
      </w:r>
    </w:p>
    <w:p>
      <w:pPr>
        <w:spacing w:after="40" w:line="250"/>
      </w:pPr>
      <w:r>
        <w:rPr>
          <w:rFonts w:ascii="Georgia" w:cs="Georgia" w:eastAsia="Georgia" w:hAnsi="Georgia"/>
          <w:sz w:val="20"/>
          <w:szCs w:val="20"/>
        </w:rPr>
        <w:t xml:space="preserve">Research focus: environmental law, administrative law, access to justice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Research and Publications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“[Title of Article on Environmental Clearances],” [Name of Journal], Vol. X,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“[Title of Case Comment on a Recent NGT Order],” [Name of Blog],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Paper presented at the [Name of National Seminar on Environmental Law],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Research assistant to Prof. [Name], on a project about groundwater regulation in Karnataka, 2024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Internships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Legal Research Intern, [Name of Policy Think Tank], Delhi</w:t>
      </w:r>
      <w:r>
        <w:rPr>
          <w:rFonts w:ascii="Georgia" w:cs="Georgia" w:eastAsia="Georgia" w:hAnsi="Georgia"/>
          <w:i w:val="false"/>
          <w:iCs w:val="false"/>
          <w:sz w:val="20"/>
          <w:szCs w:val="20"/>
        </w:rPr>
        <w:t xml:space="preserve">	May 2025 to July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Reviewed 40+ judgments and prepared a comparative note on forest rights litigation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Co-drafted a policy brief on the Forest Rights Act, 2006 submitted to a state department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Legal Intern, [Name of Human Rights NGO], Bengaluru</w:t>
      </w:r>
      <w:r>
        <w:rPr>
          <w:rFonts w:ascii="Georgia" w:cs="Georgia" w:eastAsia="Georgia" w:hAnsi="Georgia"/>
          <w:i w:val="false"/>
          <w:iCs w:val="false"/>
          <w:sz w:val="20"/>
          <w:szCs w:val="20"/>
        </w:rPr>
        <w:t xml:space="preserve">	December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Documented case files for a public interest litigation on custodial deaths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Prepared a fact sheet that was used in a press briefing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Intern, [Name of Law Firm], Bengaluru (Environment and Regulatory team)</w:t>
      </w:r>
      <w:r>
        <w:rPr>
          <w:rFonts w:ascii="Georgia" w:cs="Georgia" w:eastAsia="Georgia" w:hAnsi="Georgia"/>
          <w:i w:val="false"/>
          <w:iCs w:val="false"/>
          <w:sz w:val="20"/>
          <w:szCs w:val="20"/>
        </w:rPr>
        <w:t xml:space="preserve">	June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Tracked environmental clearance conditions and prepared compliance summaries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Moots and Advocacy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Speaker, [Name of Environmental Law Moot], 2024: semi-finalist and Best Oralist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Researcher, [Name of National Constitutional Law Moot], 2023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Activities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Founder, Environmental Law Society, [College], 2023 to present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Georgia" w:cs="Georgia" w:eastAsia="Georgia" w:hAnsi="Georgia"/>
          <w:sz w:val="20"/>
          <w:szCs w:val="20"/>
        </w:rPr>
        <w:t xml:space="preserve">Volunteer, legal aid camps on land rights, 2022 to present</w:t>
      </w:r>
    </w:p>
    <w:p>
      <w:pPr>
        <w:keepNext/>
        <w:pBdr>
          <w:left w:val="single" w:color="7A2E2E" w:sz="24" w:space="6"/>
        </w:pBdr>
        <w:spacing w:after="70" w:before="200"/>
      </w:pPr>
      <w:r>
        <w:rPr>
          <w:rFonts w:ascii="Georgia" w:cs="Georgia" w:eastAsia="Georgia" w:hAnsi="Georgia"/>
          <w:b/>
          <w:bCs/>
          <w:color w:val="7A2E2E"/>
          <w:sz w:val="23"/>
          <w:szCs w:val="23"/>
        </w:rPr>
        <w:t xml:space="preserve">Skills</w:t>
      </w:r>
    </w:p>
    <w:p>
      <w:pPr>
        <w:spacing w:after="40" w:line="25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Research and tools: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SCC Online, Manupatra, Westlaw India, Zotero</w:t>
      </w:r>
    </w:p>
    <w:p>
      <w:pPr>
        <w:spacing w:after="40" w:line="25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Writing: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policy briefs, case comments, legal memoranda   </w:t>
      </w:r>
      <w:r>
        <w:rPr>
          <w:rFonts w:ascii="Georgia" w:cs="Georgia" w:eastAsia="Georgia" w:hAnsi="Georgia"/>
          <w:b/>
          <w:bCs/>
          <w:sz w:val="20"/>
          <w:szCs w:val="20"/>
        </w:rPr>
        <w:t xml:space="preserve">Languages: </w:t>
      </w:r>
      <w:r>
        <w:rPr>
          <w:rFonts w:ascii="Georgia" w:cs="Georgia" w:eastAsia="Georgia" w:hAnsi="Georgia"/>
          <w:b w:val="false"/>
          <w:bCs w:val="false"/>
          <w:sz w:val="20"/>
          <w:szCs w:val="20"/>
        </w:rPr>
        <w:t xml:space="preserve">English, Tamil, Kannada, Hindi</w:t>
      </w:r>
    </w:p>
    <w:sectPr>
      <w:pgSz w:w="11906" w:h="16838" w:orient="portrait"/>
      <w:pgMar w:top="8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2026-10-07T05:03:51.425Z</dcterms:created>
  <dcterms:modified xsi:type="dcterms:W3CDTF">2026-10-07T05:03:51.425Z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