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F5C6B"/>
          <w:sz w:val="44"/>
          <w:szCs w:val="44"/>
        </w:rPr>
        <w:t xml:space="preserve">Arjun Menon</w:t>
      </w:r>
    </w:p>
    <w:p>
      <w:pPr>
        <w:pBdr>
          <w:bottom w:val="single" w:color="1F5C6B" w:sz="12" w:space="4"/>
        </w:pBdr>
        <w:spacing w:after="6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arjun.menon@email.com   •   +91 97XXXXXXXX   •   Kochi, Kerala   •   Year 4, B.A. LL.B.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PROFILE</w:t>
      </w:r>
    </w:p>
    <w:p>
      <w:pPr>
        <w:spacing w:after="40" w:line="250"/>
      </w:pPr>
      <w:r>
        <w:rPr>
          <w:rFonts w:ascii="Calibri" w:cs="Calibri" w:eastAsia="Calibri" w:hAnsi="Calibri"/>
          <w:sz w:val="21"/>
          <w:szCs w:val="21"/>
        </w:rPr>
        <w:t xml:space="preserve">Fourth-year law student with a litigation focus. Experience in civil and criminal chambers, regular moot speaker, and comfortable with research under tight deadlines.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LITIGATION EXPERIENCE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Intern, [Senior Advocate] Chambers, Kerala High Court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May 2025 to June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Prepared synopsis and list of dates for two writ petitions under Article 226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Researched Kerala High Court and Supreme Court rulings on service law disputes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Sat in on arguments in 15+ hearings and kept notes for the senior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Intern, District and Sessions Court, Ernakulam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December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Observed trial proceedings in criminal matters and maintained a case diary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Drafted applications for bail and prepared a chart of procedural steps under the BNSS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Intern, [Name of Law Firm], Kochi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June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Drafted legal notices and assisted with property title verification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MOOT COURT RECORD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Speaker, [Name of National Moot Court Competition]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Quarter-finalist; argued maintainability and Article 21 issues for the Petitioner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Speaker and Researcher, [Name of National Criminal Law Moot]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Best Researcher award; drafted the Respondent’s memorial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EDUCATION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B.A. LL.B. (Hons.), [Name of Law School]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2022 to present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CGPA 7.9 / 10  |  Coursework: Constitutional Law, Criminal Procedure, Evidence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WRITING AND ACTIVITIES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Case comment on a recent bail judgment, [Name of Blog],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sz w:val="21"/>
          <w:szCs w:val="21"/>
        </w:rPr>
        <w:t xml:space="preserve">Editor, College Law Review (student board), 2024 to present</w:t>
      </w:r>
    </w:p>
    <w:p>
      <w:pPr>
        <w:keepNext/>
        <w:pBdr>
          <w:bottom w:val="single" w:color="9FC3CC" w:sz="6" w:space="1"/>
        </w:pBdr>
        <w:spacing w:after="70" w:before="160"/>
      </w:pPr>
      <w:r>
        <w:rPr>
          <w:rFonts w:ascii="Calibri" w:cs="Calibri" w:eastAsia="Calibri" w:hAnsi="Calibri"/>
          <w:b/>
          <w:bCs/>
          <w:color w:val="1F5C6B"/>
          <w:spacing w:val="30"/>
          <w:sz w:val="21"/>
          <w:szCs w:val="21"/>
        </w:rPr>
        <w:t xml:space="preserve">SKILLS</w:t>
      </w:r>
    </w:p>
    <w:p>
      <w:pPr>
        <w:spacing w:after="40" w:line="2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Research: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SCC Online, Manupatra, Indian Kanoon 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English, Malayalam, Hindi</w:t>
      </w:r>
    </w:p>
    <w:sectPr>
      <w:pgSz w:w="11906" w:h="16838" w:orient="portrait"/>
      <w:pgMar w:top="8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2026-10-07T05:03:51.389Z</dcterms:created>
  <dcterms:modified xsi:type="dcterms:W3CDTF">2026-10-07T05:03:51.389Z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